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beneficiary(ies),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 xml:space="preserve">Each person (“qualified beneficiary”) in the category(ies)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6E126" w14:textId="77777777" w:rsidR="00CB7576" w:rsidRDefault="00CB7576" w:rsidP="00601676">
      <w:r>
        <w:separator/>
      </w:r>
    </w:p>
  </w:endnote>
  <w:endnote w:type="continuationSeparator" w:id="0">
    <w:p w14:paraId="4060E64F" w14:textId="77777777" w:rsidR="00CB7576" w:rsidRDefault="00CB7576"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493B0" w14:textId="77777777" w:rsidR="00CB7576" w:rsidRDefault="00CB7576" w:rsidP="00601676">
      <w:r>
        <w:separator/>
      </w:r>
    </w:p>
  </w:footnote>
  <w:footnote w:type="continuationSeparator" w:id="0">
    <w:p w14:paraId="1B2C66A0" w14:textId="77777777" w:rsidR="00CB7576" w:rsidRDefault="00CB7576"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0B81"/>
    <w:rsid w:val="00601676"/>
    <w:rsid w:val="00601C32"/>
    <w:rsid w:val="0063133F"/>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E50"/>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B7576"/>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 w:val="00FE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customXml/itemProps3.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0199C-59CF-4119-9AEC-5545151C6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20390</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Della Gunn</cp:lastModifiedBy>
  <cp:revision>2</cp:revision>
  <cp:lastPrinted>2014-04-29T20:25:00Z</cp:lastPrinted>
  <dcterms:created xsi:type="dcterms:W3CDTF">2020-12-04T15:13:00Z</dcterms:created>
  <dcterms:modified xsi:type="dcterms:W3CDTF">2020-12-04T15:13:00Z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